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E7DE9">
      <w:pPr>
        <w:pStyle w:val="Title"/>
      </w:pPr>
    </w:p>
    <w:p w:rsidR="003E7DE9">
      <w:pPr>
        <w:pStyle w:val="Title"/>
      </w:pPr>
    </w:p>
    <w:p w:rsidR="003E7DE9">
      <w:pPr>
        <w:pStyle w:val="Title"/>
      </w:pPr>
    </w:p>
    <w:p w:rsidR="00F86478">
      <w:pPr>
        <w:pStyle w:val="Title"/>
      </w:pPr>
      <w:bookmarkStart w:id="0" w:name="_GoBack"/>
      <w:bookmarkEnd w:id="0"/>
      <w:r>
        <w:t>V</w:t>
      </w:r>
      <w:r w:rsidR="0087241D">
        <w:t>icarious Trauma Self-Assessment</w:t>
      </w:r>
    </w:p>
    <w:p w:rsidR="00F86478">
      <w:pPr>
        <w:pStyle w:val="Title2"/>
        <w:contextualSpacing/>
      </w:pPr>
      <w:r>
        <w:t>Student's Name</w:t>
      </w:r>
    </w:p>
    <w:p w:rsidR="00F86478">
      <w:pPr>
        <w:pStyle w:val="Title2"/>
        <w:contextualSpacing/>
      </w:pPr>
      <w:r>
        <w:t>Institutional Affiliations</w:t>
      </w:r>
    </w:p>
    <w:p w:rsidR="00F86478">
      <w:pPr>
        <w:contextualSpacing/>
      </w:pPr>
    </w:p>
    <w:p w:rsidR="00F86478">
      <w:pPr>
        <w:pStyle w:val="SectionTitle"/>
        <w:contextualSpacing/>
      </w:pPr>
      <w:r>
        <w:t>Vicarious Trauma Self-Assessment</w:t>
      </w:r>
    </w:p>
    <w:p w:rsidR="00F86478">
      <w:pPr>
        <w:contextualSpacing/>
      </w:pPr>
      <w:r>
        <w:t xml:space="preserve">Vicarious trauma is described as secondary trauma experienced by health and mental health practitioners who deal with clients who have </w:t>
      </w:r>
      <w:r>
        <w:t>experienced or are experiencing trauma. Being aware of one's reactions while dealing with such clients is very important. It helps to build a preliminary self-care plan to prevent the negative outcomes of secondary trauma as discussed here.
</w:t>
      </w:r>
    </w:p>
    <w:p w:rsidR="00F86478">
      <w:pPr>
        <w:contextualSpacing/>
      </w:pPr>
      <w:r>
        <w:t>The compone</w:t>
      </w:r>
      <w:r>
        <w:t>nts of vicarious trauma self-assessment are the frame of reference; disruptions in self-capacities; disruptions in needs, beliefs, and relationships; ego resources; trauma history; and behavior changes (</w:t>
      </w:r>
      <w:r>
        <w:rPr>
          <w:rFonts w:ascii="Times New Roman" w:hAnsi="Times New Roman" w:cs="Times New Roman"/>
          <w:szCs w:val="18"/>
        </w:rPr>
        <w:t>Pearlman &amp; Saakvitne, 1995).</w:t>
      </w:r>
      <w:r>
        <w:t xml:space="preserve"> Under frame of reference</w:t>
      </w:r>
      <w:r>
        <w:t>, one ass his or her worldview, identity and spirituality, which are essential to understanding how one finds purpose in life. Disruptions of self-capacities as a component assess the extent to which one's interpersonal abilities have been affected by vi</w:t>
      </w:r>
      <w:r>
        <w:t>carious trauma and whether or not the individual can withstand the demand of care in a traumatizing environment (</w:t>
      </w:r>
      <w:r>
        <w:rPr>
          <w:rFonts w:ascii="Times New Roman" w:hAnsi="Times New Roman" w:cs="Times New Roman"/>
          <w:szCs w:val="18"/>
        </w:rPr>
        <w:t>Pearlman &amp; Saakvitne, 1995).</w:t>
      </w:r>
      <w:r>
        <w:t xml:space="preserve"> Disruptions of needs, relationships, and beliefs extend the assessment to encompass critical areas that determine </w:t>
      </w:r>
      <w:r>
        <w:t>one's personality, including personal needs, beliefs, and interpersonal relationships. When it comes to ego resources, the focus is primarily on interpersonal relationships and how one is affected by the relationship and boundary setting when interacting w</w:t>
      </w:r>
      <w:r>
        <w:t>ith clients. For some reasons, especially when the trauma has been experienced for some time, getting one's trauma history is essential to point of departure in self-care planning (</w:t>
      </w:r>
      <w:r>
        <w:rPr>
          <w:rFonts w:ascii="Times New Roman" w:hAnsi="Times New Roman" w:cs="Times New Roman"/>
          <w:szCs w:val="18"/>
        </w:rPr>
        <w:t>Pearlman &amp; Saakvitne, 1995)</w:t>
      </w:r>
      <w:r>
        <w:t xml:space="preserve"> Finally, observing behavior changes is critical</w:t>
      </w:r>
      <w:r>
        <w:t xml:space="preserve"> as helps one to know whether or not his or her cognitive processes have been affected by vicarious trauma. </w:t>
      </w:r>
    </w:p>
    <w:p w:rsidR="00F86478">
      <w:pPr>
        <w:contextualSpacing/>
      </w:pPr>
      <w:r>
        <w:t>Given that counseling is such an emotionally demanding task, vicarious trauma self-assessment is a critical step towards helping therapists to have</w:t>
      </w:r>
      <w:r>
        <w:t xml:space="preserve"> control over their emotional needs as well as their responsiveness in dealing with clients (</w:t>
      </w:r>
      <w:r>
        <w:rPr>
          <w:rFonts w:ascii="Times New Roman" w:hAnsi="Times New Roman" w:cs="Times New Roman"/>
          <w:szCs w:val="18"/>
        </w:rPr>
        <w:t>McCann &amp; Pearlman, 1990).</w:t>
      </w:r>
      <w:r>
        <w:t xml:space="preserve"> Since therapists are required not only to be empathetic but equally understanding and giving, they are likely to be at risk of undergoing</w:t>
      </w:r>
      <w:r>
        <w:t xml:space="preserve"> emotional, mental, and physical exhaustion (Chrestman, 1995). Such experiences may result in counterproductive responses, including guilt, burnout, countertransference, and among others, detachment all of which impact the counseling relationship and thera</w:t>
      </w:r>
      <w:r>
        <w:t>peutic process outcomes.</w:t>
      </w:r>
    </w:p>
    <w:p w:rsidR="00F86478">
      <w:pPr>
        <w:pStyle w:val="SectionTitle"/>
        <w:contextualSpacing/>
      </w:pPr>
      <w:r>
        <w:t>References</w:t>
      </w:r>
    </w:p>
    <w:p w:rsidR="00F86478">
      <w:pPr>
        <w:pStyle w:val="Footer"/>
        <w:spacing w:line="480" w:lineRule="auto"/>
        <w:ind w:left="720" w:hanging="720"/>
        <w:rPr>
          <w:rFonts w:ascii="Times New Roman" w:hAnsi="Times New Roman" w:cs="Times New Roman"/>
          <w:szCs w:val="18"/>
        </w:rPr>
      </w:pPr>
      <w:r>
        <w:rPr>
          <w:rFonts w:ascii="Times New Roman" w:hAnsi="Times New Roman" w:cs="Times New Roman"/>
          <w:szCs w:val="18"/>
        </w:rPr>
        <w:t xml:space="preserve">Chrestman, K.R. (1995). Secondary exposure to trauma and self-reported distress among therapists. In B.H. Stamm (Ed.), </w:t>
      </w:r>
      <w:r>
        <w:rPr>
          <w:rFonts w:ascii="Times New Roman" w:hAnsi="Times New Roman" w:cs="Times New Roman"/>
          <w:i/>
          <w:szCs w:val="18"/>
        </w:rPr>
        <w:t xml:space="preserve">Secondary traumatic stress: Self-care issues for clinicians, researchers, and educators. </w:t>
      </w:r>
      <w:r>
        <w:rPr>
          <w:rFonts w:ascii="Times New Roman" w:hAnsi="Times New Roman" w:cs="Times New Roman"/>
          <w:szCs w:val="18"/>
        </w:rPr>
        <w:t>Lutherville,</w:t>
      </w:r>
      <w:r>
        <w:rPr>
          <w:rFonts w:ascii="Times New Roman" w:hAnsi="Times New Roman" w:cs="Times New Roman"/>
          <w:szCs w:val="18"/>
        </w:rPr>
        <w:t xml:space="preserve"> MD: Sidran Press. Pp. 29-36</w:t>
      </w:r>
    </w:p>
    <w:p w:rsidR="00F86478">
      <w:pPr>
        <w:pStyle w:val="Footer"/>
        <w:spacing w:line="480" w:lineRule="auto"/>
        <w:ind w:left="720" w:hanging="720"/>
        <w:rPr>
          <w:rFonts w:ascii="Times New Roman" w:hAnsi="Times New Roman" w:cs="Times New Roman"/>
          <w:szCs w:val="18"/>
        </w:rPr>
      </w:pPr>
      <w:r>
        <w:rPr>
          <w:rFonts w:ascii="Times New Roman" w:hAnsi="Times New Roman" w:cs="Times New Roman"/>
          <w:szCs w:val="18"/>
        </w:rPr>
        <w:t xml:space="preserve">McCann, I.L. &amp; Pearlman, L.A. (1990). Vicarious traumatization: A framework for understanding the psychological effects of working with victims. </w:t>
      </w:r>
      <w:r>
        <w:rPr>
          <w:rFonts w:ascii="Times New Roman" w:hAnsi="Times New Roman" w:cs="Times New Roman"/>
          <w:i/>
          <w:szCs w:val="18"/>
        </w:rPr>
        <w:t>Journal of Traumatic Stress, 3</w:t>
      </w:r>
      <w:r>
        <w:rPr>
          <w:rFonts w:ascii="Times New Roman" w:hAnsi="Times New Roman" w:cs="Times New Roman"/>
          <w:szCs w:val="18"/>
        </w:rPr>
        <w:t>, 131-149.</w:t>
      </w:r>
    </w:p>
    <w:p w:rsidR="00F86478">
      <w:pPr>
        <w:pStyle w:val="Footer"/>
        <w:spacing w:line="480" w:lineRule="auto"/>
        <w:ind w:left="720" w:hanging="720"/>
        <w:rPr>
          <w:rFonts w:ascii="Times New Roman" w:hAnsi="Times New Roman" w:cs="Times New Roman"/>
          <w:szCs w:val="18"/>
        </w:rPr>
      </w:pPr>
      <w:r>
        <w:rPr>
          <w:rFonts w:ascii="Times New Roman" w:hAnsi="Times New Roman" w:cs="Times New Roman"/>
          <w:szCs w:val="18"/>
        </w:rPr>
        <w:t>Pearlman, L. A., &amp; Saakvitne, K.W. (1995)</w:t>
      </w:r>
      <w:r>
        <w:rPr>
          <w:rFonts w:ascii="Times New Roman" w:hAnsi="Times New Roman" w:cs="Times New Roman"/>
          <w:szCs w:val="18"/>
        </w:rPr>
        <w:t xml:space="preserve">. Treating therapists with vicarious traumatization and secondary traumatic stress disorders.  In C. R. Figley (Ed.) </w:t>
      </w:r>
      <w:r>
        <w:rPr>
          <w:rFonts w:ascii="Times New Roman" w:hAnsi="Times New Roman" w:cs="Times New Roman"/>
          <w:i/>
          <w:szCs w:val="18"/>
        </w:rPr>
        <w:t>Compassion fatigue: Coping with secondary traumatic stress disorder.</w:t>
      </w:r>
      <w:r>
        <w:rPr>
          <w:rFonts w:ascii="Times New Roman" w:hAnsi="Times New Roman" w:cs="Times New Roman"/>
          <w:szCs w:val="18"/>
        </w:rPr>
        <w:t xml:space="preserve"> Levittown, PA: Brunner/Mazel. Pp. 150-177.</w:t>
      </w:r>
    </w:p>
    <w:p w:rsidR="00F86478">
      <w:pPr>
        <w:pStyle w:val="Footer"/>
        <w:spacing w:line="480" w:lineRule="auto"/>
        <w:ind w:left="720" w:hanging="720"/>
        <w:rPr>
          <w:rFonts w:ascii="Times New Roman" w:hAnsi="Times New Roman" w:cs="Times New Roman"/>
          <w:szCs w:val="18"/>
        </w:rPr>
      </w:pPr>
    </w:p>
    <w:p w:rsidR="00F86478">
      <w:pPr>
        <w:pStyle w:val="Bibliography"/>
        <w:rPr>
          <w:rFonts w:ascii="Times New Roman" w:hAnsi="Times New Roman" w:cs="Times New Roman"/>
        </w:rPr>
      </w:pPr>
    </w:p>
    <w:sectPr>
      <w:headerReference w:type="even" r:id="rId5"/>
      <w:headerReference w:type="default" r:id="rId6"/>
      <w:footerReference w:type="even" r:id="rId7"/>
      <w:footerReference w:type="default" r:id="rId8"/>
      <w:headerReference w:type="first" r:id="rId9"/>
      <w:footerReference w:type="first" r:id="rId10"/>
      <w:footnotePr>
        <w:pos w:val="beneathText"/>
        <w:numFmt w:val="lowerRoman"/>
      </w:footnotePr>
      <w:pgSz w:w="12240" w:h="15840"/>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32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478">
    <w:pP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478">
    <w:pPr>
      <w:spacing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3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478">
    <w:pPr>
      <w:pStyle w:val="Header"/>
    </w:pPr>
    <w:r>
      <w:rPr>
        <w:rStyle w:val="Strong"/>
      </w:rPr>
      <w:t xml:space="preserve">VICARIOUS TRAUMA SELF-ASSESSMENT                                                                      </w:t>
    </w:r>
    <w:r>
      <w:fldChar w:fldCharType="begin"/>
    </w:r>
    <w:r>
      <w:instrText xml:space="preserve"> PAGE   \* MERGEFORMAT </w:instrText>
    </w:r>
    <w:r>
      <w:fldChar w:fldCharType="separate"/>
    </w:r>
    <w:r w:rsidRPr="002F328B" w:rsidR="002F328B">
      <w:rPr>
        <w:rStyle w:val="Strong"/>
        <w:noProof/>
      </w:rPr>
      <w:t>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6478">
    <w:pPr>
      <w:pStyle w:val="Header"/>
      <w:rPr>
        <w:rStyle w:val="Strong"/>
      </w:rPr>
    </w:pPr>
    <w:r>
      <w:t xml:space="preserve">Running head: VICARIOUS TRAUMA SELF-ASSESSMENT                                   </w:t>
    </w:r>
    <w:r>
      <w:t xml:space="preserve">    </w:t>
    </w:r>
    <w:r>
      <w:fldChar w:fldCharType="begin"/>
    </w:r>
    <w:r>
      <w:instrText xml:space="preserve"> PAGE   \* MERGEFORMAT </w:instrText>
    </w:r>
    <w:r>
      <w:fldChar w:fldCharType="separate"/>
    </w:r>
    <w:r w:rsidRPr="002F328B" w:rsidR="002F328B">
      <w:rPr>
        <w:rStyle w:val="Strong"/>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D757E0"/>
    <w:multiLevelType w:val="singleLevel"/>
    <w:tmpl w:val="F3D25476"/>
    <w:lvl w:ilvl="0">
      <w:start w:val="1"/>
      <w:numFmt w:val="bullet"/>
      <w:pStyle w:val="ListBullet5"/>
      <w:lvlText w:val=""/>
      <w:lvlJc w:val="left"/>
      <w:pPr>
        <w:tabs>
          <w:tab w:val="num" w:pos="1800"/>
        </w:tabs>
        <w:ind w:left="1800" w:hanging="360"/>
      </w:pPr>
      <w:rPr>
        <w:rFonts w:ascii="Symbol" w:hAnsi="Symbol"/>
      </w:rPr>
    </w:lvl>
  </w:abstractNum>
  <w:abstractNum w:abstractNumId="1">
    <w:nsid w:val="295739BD"/>
    <w:multiLevelType w:val="singleLevel"/>
    <w:tmpl w:val="8A3828E8"/>
    <w:lvl w:ilvl="0">
      <w:start w:val="1"/>
      <w:numFmt w:val="decimal"/>
      <w:pStyle w:val="ListNumber4"/>
      <w:lvlText w:val="%1."/>
      <w:lvlJc w:val="left"/>
      <w:pPr>
        <w:tabs>
          <w:tab w:val="num" w:pos="1440"/>
        </w:tabs>
        <w:ind w:left="1440" w:hanging="360"/>
      </w:pPr>
    </w:lvl>
  </w:abstractNum>
  <w:abstractNum w:abstractNumId="2">
    <w:nsid w:val="30C1240A"/>
    <w:multiLevelType w:val="singleLevel"/>
    <w:tmpl w:val="8806DDF6"/>
    <w:lvl w:ilvl="0">
      <w:start w:val="1"/>
      <w:numFmt w:val="bullet"/>
      <w:pStyle w:val="ListBullet"/>
      <w:lvlText w:val=""/>
      <w:lvlJc w:val="left"/>
      <w:pPr>
        <w:tabs>
          <w:tab w:val="num" w:pos="1080"/>
        </w:tabs>
        <w:ind w:left="1080" w:hanging="360"/>
      </w:pPr>
      <w:rPr>
        <w:rFonts w:ascii="Symbol" w:hAnsi="Symbol"/>
      </w:rPr>
    </w:lvl>
  </w:abstractNum>
  <w:abstractNum w:abstractNumId="3">
    <w:nsid w:val="324423F3"/>
    <w:multiLevelType w:val="singleLevel"/>
    <w:tmpl w:val="04090001"/>
    <w:lvl w:ilvl="0">
      <w:start w:val="1"/>
      <w:numFmt w:val="bullet"/>
      <w:pStyle w:val="ListBullet2"/>
      <w:lvlText w:val=""/>
      <w:lvlJc w:val="left"/>
      <w:pPr>
        <w:tabs>
          <w:tab w:val="num" w:pos="720"/>
        </w:tabs>
        <w:ind w:left="720" w:hanging="360"/>
      </w:pPr>
      <w:rPr>
        <w:rFonts w:ascii="Symbol" w:hAnsi="Symbol"/>
      </w:rPr>
    </w:lvl>
  </w:abstractNum>
  <w:abstractNum w:abstractNumId="4">
    <w:nsid w:val="51BC6EFF"/>
    <w:multiLevelType w:val="singleLevel"/>
    <w:tmpl w:val="0D8E7E14"/>
    <w:lvl w:ilvl="0">
      <w:start w:val="1"/>
      <w:numFmt w:val="decimal"/>
      <w:pStyle w:val="ListNumber"/>
      <w:lvlText w:val="%1."/>
      <w:lvlJc w:val="left"/>
      <w:pPr>
        <w:tabs>
          <w:tab w:val="num" w:pos="1080"/>
        </w:tabs>
        <w:ind w:left="1080" w:hanging="360"/>
      </w:pPr>
    </w:lvl>
  </w:abstractNum>
  <w:abstractNum w:abstractNumId="5">
    <w:nsid w:val="59555AB0"/>
    <w:multiLevelType w:val="singleLevel"/>
    <w:tmpl w:val="B9207332"/>
    <w:lvl w:ilvl="0">
      <w:start w:val="1"/>
      <w:numFmt w:val="bullet"/>
      <w:pStyle w:val="ListBullet4"/>
      <w:lvlText w:val=""/>
      <w:lvlJc w:val="left"/>
      <w:pPr>
        <w:tabs>
          <w:tab w:val="num" w:pos="1440"/>
        </w:tabs>
        <w:ind w:left="1440" w:hanging="360"/>
      </w:pPr>
      <w:rPr>
        <w:rFonts w:ascii="Symbol" w:hAnsi="Symbol"/>
      </w:rPr>
    </w:lvl>
  </w:abstractNum>
  <w:abstractNum w:abstractNumId="6">
    <w:nsid w:val="603069DE"/>
    <w:multiLevelType w:val="singleLevel"/>
    <w:tmpl w:val="827C7458"/>
    <w:lvl w:ilvl="0">
      <w:start w:val="1"/>
      <w:numFmt w:val="decimal"/>
      <w:pStyle w:val="ListNumber3"/>
      <w:lvlText w:val="%1."/>
      <w:lvlJc w:val="left"/>
      <w:pPr>
        <w:tabs>
          <w:tab w:val="num" w:pos="1080"/>
        </w:tabs>
        <w:ind w:left="1080" w:hanging="360"/>
      </w:pPr>
    </w:lvl>
  </w:abstractNum>
  <w:abstractNum w:abstractNumId="7">
    <w:nsid w:val="680A044B"/>
    <w:multiLevelType w:val="singleLevel"/>
    <w:tmpl w:val="A798F02C"/>
    <w:lvl w:ilvl="0">
      <w:start w:val="1"/>
      <w:numFmt w:val="bullet"/>
      <w:pStyle w:val="ListBullet3"/>
      <w:lvlText w:val=""/>
      <w:lvlJc w:val="left"/>
      <w:pPr>
        <w:tabs>
          <w:tab w:val="num" w:pos="1080"/>
        </w:tabs>
        <w:ind w:left="1080" w:hanging="360"/>
      </w:pPr>
      <w:rPr>
        <w:rFonts w:ascii="Symbol" w:hAnsi="Symbol"/>
      </w:rPr>
    </w:lvl>
  </w:abstractNum>
  <w:abstractNum w:abstractNumId="8">
    <w:nsid w:val="6DA636C0"/>
    <w:multiLevelType w:val="singleLevel"/>
    <w:tmpl w:val="4CCA7300"/>
    <w:lvl w:ilvl="0">
      <w:start w:val="1"/>
      <w:numFmt w:val="decimal"/>
      <w:pStyle w:val="ListNumber5"/>
      <w:lvlText w:val="%1."/>
      <w:lvlJc w:val="left"/>
      <w:pPr>
        <w:tabs>
          <w:tab w:val="num" w:pos="1800"/>
        </w:tabs>
        <w:ind w:left="1800" w:hanging="360"/>
      </w:pPr>
    </w:lvl>
  </w:abstractNum>
  <w:abstractNum w:abstractNumId="9">
    <w:nsid w:val="71871897"/>
    <w:multiLevelType w:val="singleLevel"/>
    <w:tmpl w:val="0409000F"/>
    <w:lvl w:ilvl="0">
      <w:start w:val="1"/>
      <w:numFmt w:val="decimal"/>
      <w:pStyle w:val="ListNumber2"/>
      <w:lvlText w:val="%1."/>
      <w:lvlJc w:val="left"/>
      <w:pPr>
        <w:tabs>
          <w:tab w:val="num" w:pos="720"/>
        </w:tabs>
        <w:ind w:left="720" w:hanging="360"/>
      </w:pPr>
    </w:lvl>
  </w:abstractNum>
  <w:num w:numId="1">
    <w:abstractNumId w:val="2"/>
  </w:num>
  <w:num w:numId="2">
    <w:abstractNumId w:val="3"/>
  </w:num>
  <w:num w:numId="3">
    <w:abstractNumId w:val="7"/>
  </w:num>
  <w:num w:numId="4">
    <w:abstractNumId w:val="5"/>
  </w:num>
  <w:num w:numId="5">
    <w:abstractNumId w:val="0"/>
  </w:num>
  <w:num w:numId="6">
    <w:abstractNumId w:val="4"/>
  </w:num>
  <w:num w:numId="7">
    <w:abstractNumId w:val="9"/>
  </w:num>
  <w:num w:numId="8">
    <w:abstractNumId w:val="6"/>
  </w:num>
  <w:num w:numId="9">
    <w:abstractNumId w:val="1"/>
  </w:num>
  <w:num w:numId="10">
    <w:abstractNumId w:val="8"/>
  </w:num>
  <w:num w:numId="1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defaultTabStop w:val="720"/>
  <w:characterSpacingControl w:val="doNotCompress"/>
  <w:footnotePr>
    <w:pos w:val="beneathText"/>
    <w:numFmt w:val="lowerRoman"/>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DA"/>
    <w:rsid w:val="000207B3"/>
    <w:rsid w:val="002F328B"/>
    <w:rsid w:val="00302131"/>
    <w:rsid w:val="003E7DE9"/>
    <w:rsid w:val="00771BD9"/>
    <w:rsid w:val="007D205D"/>
    <w:rsid w:val="00816BB1"/>
    <w:rsid w:val="0087241D"/>
    <w:rsid w:val="009C542B"/>
    <w:rsid w:val="00B16A94"/>
    <w:rsid w:val="00BE30D5"/>
    <w:rsid w:val="00C410DA"/>
    <w:rsid w:val="00F864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rPr>
  </w:style>
  <w:style w:type="character" w:customStyle="1" w:styleId="Heading2Char">
    <w:name w:val="Heading 2 Char"/>
    <w:basedOn w:val="DefaultParagraphFont"/>
    <w:link w:val="Heading2"/>
    <w:uiPriority w:val="3"/>
    <w:rPr>
      <w:rFonts w:asciiTheme="majorHAnsi" w:eastAsiaTheme="majorEastAsia" w:hAnsiTheme="majorHAnsi" w:cstheme="majorBidi"/>
      <w:b/>
      <w:bCs/>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3"/>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left w:val="single" w:sz="2" w:space="10" w:color="DDDDDD" w:themeColor="accent1"/>
        <w:bottom w:val="single" w:sz="2" w:space="10" w:color="DDDDDD" w:themeColor="accent1"/>
        <w:right w:val="single" w:sz="2" w:space="10" w:color="DDDDDD" w:themeColor="accent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uiPriority w:val="99"/>
    <w:semiHidden/>
    <w:unhideWhenUsed/>
    <w:pPr>
      <w:spacing w:line="240" w:lineRule="auto"/>
      <w:ind w:left="240" w:firstLine="0"/>
    </w:pPr>
  </w:style>
  <w:style w:type="paragraph" w:styleId="Index2">
    <w:name w:val="index 2"/>
    <w:basedOn w:val="Normal"/>
    <w:next w:val="Normal"/>
    <w:uiPriority w:val="99"/>
    <w:semiHidden/>
    <w:unhideWhenUsed/>
    <w:pPr>
      <w:spacing w:line="240" w:lineRule="auto"/>
      <w:ind w:left="480" w:firstLine="0"/>
    </w:pPr>
  </w:style>
  <w:style w:type="paragraph" w:styleId="Index3">
    <w:name w:val="index 3"/>
    <w:basedOn w:val="Normal"/>
    <w:next w:val="Normal"/>
    <w:uiPriority w:val="99"/>
    <w:semiHidden/>
    <w:unhideWhenUsed/>
    <w:pPr>
      <w:spacing w:line="240" w:lineRule="auto"/>
      <w:ind w:left="720" w:firstLine="0"/>
    </w:pPr>
  </w:style>
  <w:style w:type="paragraph" w:styleId="Index4">
    <w:name w:val="index 4"/>
    <w:basedOn w:val="Normal"/>
    <w:next w:val="Normal"/>
    <w:uiPriority w:val="99"/>
    <w:semiHidden/>
    <w:unhideWhenUsed/>
    <w:pPr>
      <w:spacing w:line="240" w:lineRule="auto"/>
      <w:ind w:left="960" w:firstLine="0"/>
    </w:pPr>
  </w:style>
  <w:style w:type="paragraph" w:styleId="Index5">
    <w:name w:val="index 5"/>
    <w:basedOn w:val="Normal"/>
    <w:next w:val="Normal"/>
    <w:uiPriority w:val="99"/>
    <w:semiHidden/>
    <w:unhideWhenUsed/>
    <w:pPr>
      <w:spacing w:line="240" w:lineRule="auto"/>
      <w:ind w:left="1200" w:firstLine="0"/>
    </w:pPr>
  </w:style>
  <w:style w:type="paragraph" w:styleId="Index6">
    <w:name w:val="index 6"/>
    <w:basedOn w:val="Normal"/>
    <w:next w:val="Normal"/>
    <w:uiPriority w:val="99"/>
    <w:semiHidden/>
    <w:unhideWhenUsed/>
    <w:pPr>
      <w:spacing w:line="240" w:lineRule="auto"/>
      <w:ind w:left="1440" w:firstLine="0"/>
    </w:pPr>
  </w:style>
  <w:style w:type="paragraph" w:styleId="Index7">
    <w:name w:val="index 7"/>
    <w:basedOn w:val="Normal"/>
    <w:next w:val="Normal"/>
    <w:uiPriority w:val="99"/>
    <w:semiHidden/>
    <w:unhideWhenUsed/>
    <w:pPr>
      <w:spacing w:line="240" w:lineRule="auto"/>
      <w:ind w:left="1680" w:firstLine="0"/>
    </w:pPr>
  </w:style>
  <w:style w:type="paragraph" w:styleId="Index8">
    <w:name w:val="index 8"/>
    <w:basedOn w:val="Normal"/>
    <w:next w:val="Normal"/>
    <w:uiPriority w:val="99"/>
    <w:semiHidden/>
    <w:unhideWhenUsed/>
    <w:pPr>
      <w:spacing w:line="240" w:lineRule="auto"/>
      <w:ind w:left="1920" w:firstLine="0"/>
    </w:pPr>
  </w:style>
  <w:style w:type="paragraph" w:styleId="Index9">
    <w:name w:val="index 9"/>
    <w:basedOn w:val="Normal"/>
    <w:next w:val="Normal"/>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uiPriority w:val="39"/>
    <w:semiHidden/>
    <w:unhideWhenUsed/>
    <w:pPr>
      <w:spacing w:after="100"/>
      <w:ind w:left="720" w:firstLine="0"/>
    </w:pPr>
  </w:style>
  <w:style w:type="paragraph" w:styleId="TOC5">
    <w:name w:val="toc 5"/>
    <w:basedOn w:val="Normal"/>
    <w:next w:val="Normal"/>
    <w:uiPriority w:val="39"/>
    <w:semiHidden/>
    <w:unhideWhenUsed/>
    <w:pPr>
      <w:spacing w:after="100"/>
      <w:ind w:left="960" w:firstLine="0"/>
    </w:pPr>
  </w:style>
  <w:style w:type="paragraph" w:styleId="TOC6">
    <w:name w:val="toc 6"/>
    <w:basedOn w:val="Normal"/>
    <w:next w:val="Normal"/>
    <w:uiPriority w:val="39"/>
    <w:semiHidden/>
    <w:unhideWhenUsed/>
    <w:pPr>
      <w:spacing w:after="100"/>
      <w:ind w:left="1200" w:firstLine="0"/>
    </w:pPr>
  </w:style>
  <w:style w:type="paragraph" w:styleId="TOC7">
    <w:name w:val="toc 7"/>
    <w:basedOn w:val="Normal"/>
    <w:next w:val="Normal"/>
    <w:uiPriority w:val="39"/>
    <w:semiHidden/>
    <w:unhideWhenUsed/>
    <w:pPr>
      <w:spacing w:after="100"/>
      <w:ind w:left="1440" w:firstLine="0"/>
    </w:pPr>
  </w:style>
  <w:style w:type="paragraph" w:styleId="TOC8">
    <w:name w:val="toc 8"/>
    <w:basedOn w:val="Normal"/>
    <w:next w:val="Normal"/>
    <w:uiPriority w:val="39"/>
    <w:semiHidden/>
    <w:unhideWhenUsed/>
    <w:pPr>
      <w:spacing w:after="100"/>
      <w:ind w:left="1680" w:firstLine="0"/>
    </w:pPr>
  </w:style>
  <w:style w:type="paragraph" w:styleId="TOC9">
    <w:name w:val="toc 9"/>
    <w:basedOn w:val="Normal"/>
    <w:next w:val="Normal"/>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DDDDDD"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DDDDD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DDDDDD" w:themeColor="accent1"/>
    </w:rPr>
  </w:style>
  <w:style w:type="character" w:styleId="SubtleReference">
    <w:name w:val="Subtle Reference"/>
    <w:basedOn w:val="DefaultParagraphFont"/>
    <w:uiPriority w:val="31"/>
    <w:qFormat/>
    <w:rPr>
      <w:smallCaps/>
      <w:color w:val="B2B2B2" w:themeColor="accent2"/>
      <w:u w:val="single"/>
    </w:rPr>
  </w:style>
  <w:style w:type="character" w:styleId="IntenseReference">
    <w:name w:val="Intense Reference"/>
    <w:basedOn w:val="DefaultParagraphFont"/>
    <w:uiPriority w:val="32"/>
    <w:qFormat/>
    <w:rPr>
      <w:b/>
      <w:bCs/>
      <w:smallCaps/>
      <w:color w:val="B2B2B2" w:themeColor="accent2"/>
      <w:spacing w:val="5"/>
      <w:u w:val="single"/>
    </w:rPr>
  </w:style>
  <w:style w:type="character" w:styleId="BookTitle">
    <w:name w:val="Book Title"/>
    <w:basedOn w:val="DefaultParagraphFont"/>
    <w:uiPriority w:val="33"/>
    <w:qFormat/>
    <w:rPr>
      <w:b/>
      <w:bCs/>
      <w:smallCaps/>
      <w:spacing w:val="5"/>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SixthEditionOfficeOnline.xsl" StyleName="APA" Version="6">
  <b:Source>
    <b:Tag>Nor15</b:Tag>
    <b:SourceType>Book</b:SourceType>
    <b:Guid>{FE6D8537-200F-4624-8FDB-8C6D3F3CAE7C}</b:Guid>
    <b:Author>
      <b:Author>
        <b:NameList>
          <b:Person>
            <b:Last>Northouse</b:Last>
            <b:First>Peter</b:First>
            <b:Middle>G.</b:Middle>
          </b:Person>
        </b:NameList>
      </b:Author>
    </b:Author>
    <b:Title>Leadership: Theory and Practice</b:Title>
    <b:Year>2015</b:Year>
    <b:Publisher>SAGE Publications, Inc</b:Publisher>
    <b:CountryRegion>United States</b:CountryRegion>
    <b:Pages>520</b:Pages>
    <b:Edition>7th</b:Edition>
    <b:RefOrder>1</b:RefOrder>
  </b:Source>
</b:Sources>
</file>

<file path=customXml/itemProps1.xml><?xml version="1.0" encoding="utf-8"?>
<ds:datastoreItem xmlns:ds="http://schemas.openxmlformats.org/officeDocument/2006/customXml" ds:itemID="{7DFF7F73-866C-469C-923B-51E10ABFF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2019-01-05T01:05:00Z</dcterms:created>
  <dcterms:modified xsi:type="dcterms:W3CDTF">2019-01-05T01:05:00Z</dcterms:modified>
</cp:coreProperties>
</file>